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526" w:type="dxa"/>
        <w:tblInd w:w="300" w:type="dxa"/>
        <w:tblBorders>
          <w:top w:val="single" w:sz="4" w:space="0" w:color="173D63"/>
          <w:left w:val="single" w:sz="4" w:space="0" w:color="173D63"/>
          <w:bottom w:val="single" w:sz="4" w:space="0" w:color="173D63"/>
          <w:right w:val="single" w:sz="4" w:space="0" w:color="173D63"/>
          <w:insideH w:val="single" w:sz="4" w:space="0" w:color="173D63"/>
          <w:insideV w:val="single" w:sz="4" w:space="0" w:color="173D63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9526"/>
      </w:tblGrid>
      <w:tr w:rsidR="003314C9" w14:paraId="480F1207" w14:textId="77777777">
        <w:tc>
          <w:tcPr>
            <w:tcW w:w="9526" w:type="dxa"/>
            <w:shd w:val="clear" w:color="auto" w:fill="173D63"/>
            <w:tcMar>
              <w:top w:w="300" w:type="dxa"/>
              <w:left w:w="300" w:type="dxa"/>
              <w:bottom w:w="300" w:type="dxa"/>
              <w:right w:w="300" w:type="dxa"/>
            </w:tcMar>
          </w:tcPr>
          <w:p w14:paraId="480F1205" w14:textId="77777777" w:rsidR="003314C9" w:rsidRDefault="0063715B">
            <w:pPr>
              <w:spacing w:after="140" w:line="240" w:lineRule="auto"/>
              <w:rPr>
                <w:sz w:val="44"/>
              </w:rPr>
            </w:pPr>
            <w:r>
              <w:rPr>
                <w:b/>
                <w:color w:val="FFFFFF"/>
                <w:sz w:val="44"/>
                <w:szCs w:val="44"/>
              </w:rPr>
              <w:t>Eating well with intellectual disability</w:t>
            </w:r>
          </w:p>
          <w:p w14:paraId="480F1206" w14:textId="77777777" w:rsidR="003314C9" w:rsidRDefault="0063715B">
            <w:pPr>
              <w:spacing w:after="0"/>
              <w:rPr>
                <w:sz w:val="22"/>
              </w:rPr>
            </w:pPr>
            <w:r>
              <w:rPr>
                <w:color w:val="E6F1F8"/>
                <w:sz w:val="22"/>
                <w:szCs w:val="22"/>
              </w:rPr>
              <w:t>A guide for support workers: understanding nutrition challenges and how to help</w:t>
            </w:r>
          </w:p>
        </w:tc>
      </w:tr>
    </w:tbl>
    <w:p w14:paraId="480F1208" w14:textId="77777777" w:rsidR="003314C9" w:rsidRDefault="003314C9">
      <w:pPr>
        <w:spacing w:after="0"/>
        <w:rPr>
          <w:sz w:val="14"/>
        </w:rPr>
      </w:pPr>
    </w:p>
    <w:p w14:paraId="480F1209" w14:textId="77777777" w:rsidR="003314C9" w:rsidRDefault="0063715B">
      <w:pPr>
        <w:keepNext/>
        <w:spacing w:after="140" w:line="252" w:lineRule="auto"/>
        <w:rPr>
          <w:sz w:val="30"/>
        </w:rPr>
      </w:pPr>
      <w:proofErr w:type="gramStart"/>
      <w:r>
        <w:rPr>
          <w:b/>
          <w:color w:val="008FA3"/>
          <w:sz w:val="30"/>
          <w:szCs w:val="30"/>
        </w:rPr>
        <w:t>1</w:t>
      </w:r>
      <w:r>
        <w:rPr>
          <w:sz w:val="30"/>
          <w:szCs w:val="30"/>
        </w:rPr>
        <w:t xml:space="preserve">  </w:t>
      </w:r>
      <w:r>
        <w:rPr>
          <w:b/>
          <w:color w:val="173D63"/>
          <w:sz w:val="30"/>
          <w:szCs w:val="30"/>
        </w:rPr>
        <w:t>Why</w:t>
      </w:r>
      <w:proofErr w:type="gramEnd"/>
      <w:r>
        <w:rPr>
          <w:b/>
          <w:color w:val="173D63"/>
          <w:sz w:val="30"/>
          <w:szCs w:val="30"/>
        </w:rPr>
        <w:t xml:space="preserve"> balanced eating can be harder for people with ID</w:t>
      </w:r>
    </w:p>
    <w:p w14:paraId="480F120A" w14:textId="77777777" w:rsidR="003314C9" w:rsidRDefault="0063715B">
      <w:pPr>
        <w:spacing w:after="200"/>
      </w:pPr>
      <w:r>
        <w:t>People with intellectual disability (ID) have the same right to healthy, enjoyable food as anyone else. However, many experience challenges that make balanced eating harder to achieve. As a support worker, understanding these challenges — and knowing practical strategies to address them — can make a real difference to the health and wellbeing of the people you support.</w:t>
      </w:r>
    </w:p>
    <w:tbl>
      <w:tblPr>
        <w:tblW w:w="9526" w:type="dxa"/>
        <w:tblInd w:w="200" w:type="dxa"/>
        <w:tblBorders>
          <w:top w:val="single" w:sz="4" w:space="0" w:color="CFE0EC"/>
          <w:left w:val="single" w:sz="4" w:space="0" w:color="CFE0EC"/>
          <w:bottom w:val="single" w:sz="4" w:space="0" w:color="CFE0EC"/>
          <w:right w:val="single" w:sz="4" w:space="0" w:color="CFE0EC"/>
          <w:insideH w:val="single" w:sz="4" w:space="0" w:color="CFE0EC"/>
          <w:insideV w:val="single" w:sz="4" w:space="0" w:color="CFE0EC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4763"/>
        <w:gridCol w:w="4763"/>
      </w:tblGrid>
      <w:tr w:rsidR="003314C9" w14:paraId="480F1215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0B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Swallowing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</w:t>
            </w:r>
            <w:proofErr w:type="gramStart"/>
            <w:r>
              <w:rPr>
                <w:b/>
                <w:color w:val="173D63"/>
                <w:sz w:val="23"/>
                <w:szCs w:val="23"/>
              </w:rPr>
              <w:t>difficulties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(dysphagia)</w:t>
            </w:r>
          </w:p>
          <w:p w14:paraId="480F120C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Many people with ID have difficulty swallowing safely.</w:t>
            </w:r>
          </w:p>
          <w:p w14:paraId="480F120D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Food and fluids may need texture or thickness modification (e.g. minced, mashed, pureed).</w:t>
            </w:r>
          </w:p>
          <w:p w14:paraId="480F120E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This limits food variety and can reduce nutrient intake.</w:t>
            </w:r>
          </w:p>
          <w:p w14:paraId="480F120F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Always follow guidance from a speech pathologist.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10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Medication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effects on appetite and nutrition</w:t>
            </w:r>
          </w:p>
          <w:p w14:paraId="480F1211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Some medications increase appetite significantly (e.g. olanzapine, valproate).</w:t>
            </w:r>
          </w:p>
          <w:p w14:paraId="480F1212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Others reduce appetite or cause nausea.</w:t>
            </w:r>
          </w:p>
          <w:p w14:paraId="480F1213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Some deplete specific nutrients (e.g. folate, vitamin D, carnitine).</w:t>
            </w:r>
          </w:p>
          <w:p w14:paraId="480F1214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Regular medication review with a pharmacist or GP is important.</w:t>
            </w:r>
          </w:p>
        </w:tc>
      </w:tr>
      <w:tr w:rsidR="003314C9" w14:paraId="480F121E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16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Food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selectivity and sensory differences</w:t>
            </w:r>
          </w:p>
          <w:p w14:paraId="480F1217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Strong preferences for specific textures, colours, temperatures or presentations are common.</w:t>
            </w:r>
          </w:p>
          <w:p w14:paraId="480F1218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Many autistic people with ID find certain foods overwhelming — this is real, not wilful.</w:t>
            </w:r>
          </w:p>
          <w:p w14:paraId="480F1219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Restricted diets can create significant nutritional gaps.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1A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Weight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management challenges</w:t>
            </w:r>
          </w:p>
          <w:p w14:paraId="480F121B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Obesity is significantly more common in people with ID.</w:t>
            </w:r>
          </w:p>
          <w:p w14:paraId="480F121C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Some conditions (e.g. Down syndrome, Prader-Willi) bring specific metabolic and appetite challenges.</w:t>
            </w:r>
          </w:p>
          <w:p w14:paraId="480F121D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Undernutrition and unintentional weight loss also occur, particularly in people with complex support needs.</w:t>
            </w:r>
          </w:p>
        </w:tc>
      </w:tr>
      <w:tr w:rsidR="003314C9" w14:paraId="480F1227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1F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5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Constipation</w:t>
            </w:r>
            <w:proofErr w:type="gramEnd"/>
          </w:p>
          <w:p w14:paraId="480F1220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Very common in people with ID — caused by low fibre, inadequate fluids, reduced activity, and some medications.</w:t>
            </w:r>
          </w:p>
          <w:p w14:paraId="480F1221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Can become serious if not managed proactively.</w:t>
            </w:r>
          </w:p>
          <w:p w14:paraId="480F1222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Bowel health should be part of everyday care planning.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23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proofErr w:type="gramStart"/>
            <w:r>
              <w:rPr>
                <w:b/>
                <w:color w:val="008FA3"/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b/>
                <w:color w:val="173D63"/>
                <w:sz w:val="23"/>
                <w:szCs w:val="23"/>
              </w:rPr>
              <w:t>Low</w:t>
            </w:r>
            <w:proofErr w:type="gramEnd"/>
            <w:r>
              <w:rPr>
                <w:b/>
                <w:color w:val="173D63"/>
                <w:sz w:val="23"/>
                <w:szCs w:val="23"/>
              </w:rPr>
              <w:t xml:space="preserve"> fluid </w:t>
            </w:r>
            <w:proofErr w:type="gramStart"/>
            <w:r>
              <w:rPr>
                <w:b/>
                <w:color w:val="173D63"/>
                <w:sz w:val="23"/>
                <w:szCs w:val="23"/>
              </w:rPr>
              <w:t>intake</w:t>
            </w:r>
            <w:proofErr w:type="gramEnd"/>
          </w:p>
          <w:p w14:paraId="480F1224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Many people with ID do not recognise or communicate thirst reliably.</w:t>
            </w:r>
          </w:p>
          <w:p w14:paraId="480F1225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Thickened fluids can reduce how much someone drinks voluntarily.</w:t>
            </w:r>
          </w:p>
          <w:p w14:paraId="480F1226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color w:val="4E6575"/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Dehydration worsens constipation, fatigue, and urinary tract infection risk.</w:t>
            </w:r>
          </w:p>
        </w:tc>
      </w:tr>
    </w:tbl>
    <w:p w14:paraId="480F1228" w14:textId="7D8E10B0" w:rsidR="00623068" w:rsidRDefault="00623068">
      <w:pPr>
        <w:spacing w:after="0"/>
        <w:rPr>
          <w:sz w:val="10"/>
        </w:rPr>
      </w:pPr>
    </w:p>
    <w:p w14:paraId="4E232D5E" w14:textId="77777777" w:rsidR="00623068" w:rsidRDefault="00623068">
      <w:pPr>
        <w:rPr>
          <w:sz w:val="10"/>
        </w:rPr>
      </w:pPr>
      <w:r>
        <w:rPr>
          <w:sz w:val="10"/>
        </w:rPr>
        <w:br w:type="page"/>
      </w:r>
    </w:p>
    <w:p w14:paraId="196973D9" w14:textId="77777777" w:rsidR="003314C9" w:rsidRDefault="003314C9">
      <w:pPr>
        <w:spacing w:after="0"/>
        <w:rPr>
          <w:sz w:val="10"/>
        </w:rPr>
      </w:pPr>
    </w:p>
    <w:tbl>
      <w:tblPr>
        <w:tblW w:w="9526" w:type="dxa"/>
        <w:tblInd w:w="240" w:type="dxa"/>
        <w:tblBorders>
          <w:top w:val="single" w:sz="4" w:space="0" w:color="DCEAF4"/>
          <w:left w:val="single" w:sz="4" w:space="0" w:color="DCEAF4"/>
          <w:bottom w:val="single" w:sz="4" w:space="0" w:color="DCEAF4"/>
          <w:right w:val="single" w:sz="4" w:space="0" w:color="DCEAF4"/>
          <w:insideH w:val="single" w:sz="4" w:space="0" w:color="DCEAF4"/>
          <w:insideV w:val="single" w:sz="4" w:space="0" w:color="DCEAF4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9526"/>
      </w:tblGrid>
      <w:tr w:rsidR="003314C9" w14:paraId="480F122A" w14:textId="77777777">
        <w:tc>
          <w:tcPr>
            <w:tcW w:w="9526" w:type="dxa"/>
            <w:shd w:val="clear" w:color="auto" w:fill="EAF6FA"/>
            <w:tcMar>
              <w:top w:w="200" w:type="dxa"/>
              <w:left w:w="240" w:type="dxa"/>
              <w:bottom w:w="180" w:type="dxa"/>
              <w:right w:w="240" w:type="dxa"/>
            </w:tcMar>
          </w:tcPr>
          <w:p w14:paraId="480F1229" w14:textId="77777777" w:rsidR="003314C9" w:rsidRDefault="0063715B">
            <w:pPr>
              <w:keepNext/>
              <w:spacing w:after="140" w:line="252" w:lineRule="auto"/>
              <w:rPr>
                <w:sz w:val="30"/>
              </w:rPr>
            </w:pPr>
            <w:proofErr w:type="gramStart"/>
            <w:r>
              <w:rPr>
                <w:b/>
                <w:color w:val="008FA3"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b/>
                <w:color w:val="173D63"/>
                <w:sz w:val="30"/>
                <w:szCs w:val="30"/>
              </w:rPr>
              <w:t>Nutrients</w:t>
            </w:r>
            <w:proofErr w:type="gramEnd"/>
            <w:r>
              <w:rPr>
                <w:b/>
                <w:color w:val="173D63"/>
                <w:sz w:val="30"/>
                <w:szCs w:val="30"/>
              </w:rPr>
              <w:t xml:space="preserve"> to watch closely</w:t>
            </w:r>
          </w:p>
        </w:tc>
      </w:tr>
    </w:tbl>
    <w:p w14:paraId="480F122B" w14:textId="77777777" w:rsidR="003314C9" w:rsidRDefault="003314C9">
      <w:pPr>
        <w:spacing w:after="0"/>
        <w:rPr>
          <w:sz w:val="4"/>
        </w:rPr>
      </w:pPr>
    </w:p>
    <w:tbl>
      <w:tblPr>
        <w:tblW w:w="9526" w:type="dxa"/>
        <w:tblInd w:w="180" w:type="dxa"/>
        <w:tblBorders>
          <w:top w:val="single" w:sz="4" w:space="0" w:color="CFE0EC"/>
          <w:left w:val="single" w:sz="4" w:space="0" w:color="CFE0EC"/>
          <w:bottom w:val="single" w:sz="4" w:space="0" w:color="CFE0EC"/>
          <w:right w:val="single" w:sz="4" w:space="0" w:color="CFE0EC"/>
          <w:insideH w:val="single" w:sz="4" w:space="0" w:color="CFE0EC"/>
          <w:insideV w:val="single" w:sz="4" w:space="0" w:color="CFE0EC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1900"/>
        <w:gridCol w:w="2600"/>
        <w:gridCol w:w="2500"/>
        <w:gridCol w:w="2526"/>
      </w:tblGrid>
      <w:tr w:rsidR="003314C9" w14:paraId="480F1230" w14:textId="77777777">
        <w:trPr>
          <w:cantSplit/>
          <w:tblHeader/>
        </w:trPr>
        <w:tc>
          <w:tcPr>
            <w:tcW w:w="1900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2C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Nutrient</w:t>
            </w:r>
          </w:p>
        </w:tc>
        <w:tc>
          <w:tcPr>
            <w:tcW w:w="2600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2D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Why it matters</w:t>
            </w:r>
          </w:p>
        </w:tc>
        <w:tc>
          <w:tcPr>
            <w:tcW w:w="2500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2E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Signs of concern</w:t>
            </w:r>
          </w:p>
        </w:tc>
        <w:tc>
          <w:tcPr>
            <w:tcW w:w="2526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2F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Food sources</w:t>
            </w:r>
          </w:p>
        </w:tc>
      </w:tr>
      <w:tr w:rsidR="003314C9" w14:paraId="480F1235" w14:textId="77777777">
        <w:tc>
          <w:tcPr>
            <w:tcW w:w="19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1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b/>
                <w:color w:val="173D63"/>
                <w:sz w:val="18"/>
                <w:szCs w:val="18"/>
              </w:rPr>
              <w:t>Iron</w:t>
            </w:r>
          </w:p>
        </w:tc>
        <w:tc>
          <w:tcPr>
            <w:tcW w:w="26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2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Oxygen transport; energy; immune function</w:t>
            </w:r>
          </w:p>
        </w:tc>
        <w:tc>
          <w:tcPr>
            <w:tcW w:w="25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3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Fatigue, pale skin, poor concentration</w:t>
            </w:r>
          </w:p>
        </w:tc>
        <w:tc>
          <w:tcPr>
            <w:tcW w:w="2526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4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Red meat, legumes, leafy greens, fortified cereals</w:t>
            </w:r>
          </w:p>
        </w:tc>
      </w:tr>
      <w:tr w:rsidR="003314C9" w14:paraId="480F123A" w14:textId="77777777">
        <w:tc>
          <w:tcPr>
            <w:tcW w:w="19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6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b/>
                <w:color w:val="173D63"/>
                <w:sz w:val="18"/>
                <w:szCs w:val="18"/>
              </w:rPr>
              <w:t>Vitamin D + Calcium</w:t>
            </w:r>
          </w:p>
        </w:tc>
        <w:tc>
          <w:tcPr>
            <w:tcW w:w="26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7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Bone strength; muscle function; mood regulation</w:t>
            </w:r>
          </w:p>
        </w:tc>
        <w:tc>
          <w:tcPr>
            <w:tcW w:w="25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8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Bone pain, fractures, muscle weakness</w:t>
            </w:r>
          </w:p>
        </w:tc>
        <w:tc>
          <w:tcPr>
            <w:tcW w:w="2526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9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Dairy, fortified milk, oily fish, eggs; sunlight (vit D)</w:t>
            </w:r>
          </w:p>
        </w:tc>
      </w:tr>
      <w:tr w:rsidR="003314C9" w14:paraId="480F123F" w14:textId="77777777">
        <w:tc>
          <w:tcPr>
            <w:tcW w:w="19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B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b/>
                <w:color w:val="173D63"/>
                <w:sz w:val="18"/>
                <w:szCs w:val="18"/>
              </w:rPr>
              <w:t>B12 + Folate</w:t>
            </w:r>
          </w:p>
        </w:tc>
        <w:tc>
          <w:tcPr>
            <w:tcW w:w="26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C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Brain and nerve function; red blood cell production</w:t>
            </w:r>
          </w:p>
        </w:tc>
        <w:tc>
          <w:tcPr>
            <w:tcW w:w="25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D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Fatigue, mood changes, neurological symptoms</w:t>
            </w:r>
          </w:p>
        </w:tc>
        <w:tc>
          <w:tcPr>
            <w:tcW w:w="2526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3E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Meat, eggs, dairy; leafy greens and legumes (folate)</w:t>
            </w:r>
          </w:p>
        </w:tc>
      </w:tr>
      <w:tr w:rsidR="003314C9" w14:paraId="480F1244" w14:textId="77777777">
        <w:tc>
          <w:tcPr>
            <w:tcW w:w="19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0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b/>
                <w:color w:val="173D63"/>
                <w:sz w:val="18"/>
                <w:szCs w:val="18"/>
              </w:rPr>
              <w:t>Fibre</w:t>
            </w:r>
          </w:p>
        </w:tc>
        <w:tc>
          <w:tcPr>
            <w:tcW w:w="26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1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Bowel regularity; gut health; blood sugar control</w:t>
            </w:r>
          </w:p>
        </w:tc>
        <w:tc>
          <w:tcPr>
            <w:tcW w:w="2500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2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Constipation, bloating, infrequent bowel movements</w:t>
            </w:r>
          </w:p>
        </w:tc>
        <w:tc>
          <w:tcPr>
            <w:tcW w:w="2526" w:type="dxa"/>
            <w:shd w:val="clear" w:color="auto" w:fill="F6FAFD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3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Wholegrains, vegetables, legumes, fruit, nuts and seeds</w:t>
            </w:r>
          </w:p>
        </w:tc>
      </w:tr>
      <w:tr w:rsidR="003314C9" w14:paraId="480F1249" w14:textId="77777777">
        <w:tc>
          <w:tcPr>
            <w:tcW w:w="19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5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b/>
                <w:color w:val="173D63"/>
                <w:sz w:val="18"/>
                <w:szCs w:val="18"/>
              </w:rPr>
              <w:t>Fluids (water)</w:t>
            </w:r>
          </w:p>
        </w:tc>
        <w:tc>
          <w:tcPr>
            <w:tcW w:w="26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6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All body functions; bowel and kidney health</w:t>
            </w:r>
          </w:p>
        </w:tc>
        <w:tc>
          <w:tcPr>
            <w:tcW w:w="2500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7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Dark urine, dry mouth, constipation, confusion</w:t>
            </w:r>
          </w:p>
        </w:tc>
        <w:tc>
          <w:tcPr>
            <w:tcW w:w="2526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48" w14:textId="77777777" w:rsidR="003314C9" w:rsidRDefault="0063715B">
            <w:pPr>
              <w:spacing w:after="0" w:line="250" w:lineRule="auto"/>
              <w:rPr>
                <w:sz w:val="18"/>
              </w:rPr>
            </w:pPr>
            <w:r>
              <w:rPr>
                <w:sz w:val="18"/>
                <w:szCs w:val="18"/>
              </w:rPr>
              <w:t>Water, low-fat milk, herbal teas — offer regularly</w:t>
            </w:r>
          </w:p>
        </w:tc>
      </w:tr>
    </w:tbl>
    <w:p w14:paraId="480F124A" w14:textId="478BBF6C" w:rsidR="008D6E9F" w:rsidRDefault="008D6E9F">
      <w:pPr>
        <w:spacing w:after="0"/>
        <w:rPr>
          <w:sz w:val="10"/>
        </w:rPr>
      </w:pPr>
    </w:p>
    <w:p w14:paraId="573B5E23" w14:textId="77777777" w:rsidR="008D6E9F" w:rsidRDefault="008D6E9F">
      <w:pPr>
        <w:rPr>
          <w:sz w:val="10"/>
        </w:rPr>
      </w:pPr>
      <w:r>
        <w:rPr>
          <w:sz w:val="10"/>
        </w:rPr>
        <w:br w:type="page"/>
      </w:r>
    </w:p>
    <w:p w14:paraId="24FAE0B8" w14:textId="77777777" w:rsidR="003314C9" w:rsidRDefault="003314C9">
      <w:pPr>
        <w:spacing w:after="0"/>
        <w:rPr>
          <w:sz w:val="10"/>
        </w:rPr>
      </w:pPr>
    </w:p>
    <w:tbl>
      <w:tblPr>
        <w:tblW w:w="9526" w:type="dxa"/>
        <w:tblInd w:w="240" w:type="dxa"/>
        <w:tblBorders>
          <w:top w:val="single" w:sz="4" w:space="0" w:color="DCEAF4"/>
          <w:left w:val="single" w:sz="4" w:space="0" w:color="DCEAF4"/>
          <w:bottom w:val="single" w:sz="4" w:space="0" w:color="DCEAF4"/>
          <w:right w:val="single" w:sz="4" w:space="0" w:color="DCEAF4"/>
          <w:insideH w:val="single" w:sz="4" w:space="0" w:color="DCEAF4"/>
          <w:insideV w:val="single" w:sz="4" w:space="0" w:color="DCEAF4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9526"/>
      </w:tblGrid>
      <w:tr w:rsidR="003314C9" w14:paraId="480F124C" w14:textId="77777777">
        <w:tc>
          <w:tcPr>
            <w:tcW w:w="9526" w:type="dxa"/>
            <w:shd w:val="clear" w:color="auto" w:fill="EDF3F9"/>
            <w:tcMar>
              <w:top w:w="200" w:type="dxa"/>
              <w:left w:w="240" w:type="dxa"/>
              <w:bottom w:w="180" w:type="dxa"/>
              <w:right w:w="240" w:type="dxa"/>
            </w:tcMar>
          </w:tcPr>
          <w:p w14:paraId="480F124B" w14:textId="77777777" w:rsidR="003314C9" w:rsidRDefault="0063715B">
            <w:pPr>
              <w:keepNext/>
              <w:spacing w:after="140" w:line="252" w:lineRule="auto"/>
              <w:rPr>
                <w:sz w:val="30"/>
              </w:rPr>
            </w:pPr>
            <w:proofErr w:type="gramStart"/>
            <w:r>
              <w:rPr>
                <w:b/>
                <w:color w:val="008FA3"/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b/>
                <w:color w:val="173D63"/>
                <w:sz w:val="30"/>
                <w:szCs w:val="30"/>
              </w:rPr>
              <w:t>What</w:t>
            </w:r>
            <w:proofErr w:type="gramEnd"/>
            <w:r>
              <w:rPr>
                <w:b/>
                <w:color w:val="173D63"/>
                <w:sz w:val="30"/>
                <w:szCs w:val="30"/>
              </w:rPr>
              <w:t xml:space="preserve"> support workers can do</w:t>
            </w:r>
          </w:p>
        </w:tc>
      </w:tr>
    </w:tbl>
    <w:p w14:paraId="480F124D" w14:textId="77777777" w:rsidR="003314C9" w:rsidRDefault="003314C9">
      <w:pPr>
        <w:spacing w:after="0"/>
        <w:rPr>
          <w:sz w:val="4"/>
        </w:rPr>
      </w:pPr>
    </w:p>
    <w:tbl>
      <w:tblPr>
        <w:tblW w:w="9526" w:type="dxa"/>
        <w:tblInd w:w="200" w:type="dxa"/>
        <w:tblBorders>
          <w:top w:val="single" w:sz="4" w:space="0" w:color="CFE0EC"/>
          <w:left w:val="single" w:sz="4" w:space="0" w:color="CFE0EC"/>
          <w:bottom w:val="single" w:sz="4" w:space="0" w:color="CFE0EC"/>
          <w:right w:val="single" w:sz="4" w:space="0" w:color="CFE0EC"/>
          <w:insideH w:val="single" w:sz="4" w:space="0" w:color="CFE0EC"/>
          <w:insideV w:val="single" w:sz="4" w:space="0" w:color="CFE0EC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4763"/>
        <w:gridCol w:w="4763"/>
      </w:tblGrid>
      <w:tr w:rsidR="003314C9" w14:paraId="480F125A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4E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Mealtime environment</w:t>
            </w:r>
          </w:p>
          <w:p w14:paraId="480F124F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Offer meals at consistent, calm times each day.</w:t>
            </w:r>
          </w:p>
          <w:p w14:paraId="480F1250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Reduce noise and distractions during eating.</w:t>
            </w:r>
          </w:p>
          <w:p w14:paraId="480F1251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Sit with the person — mealtimes are social occasions.</w:t>
            </w:r>
          </w:p>
          <w:p w14:paraId="480F1252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Never rush; allow adequate time to eat.</w:t>
            </w:r>
          </w:p>
          <w:p w14:paraId="480F1253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Use familiar crockery and utensils where possible.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54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Food choice and involvement</w:t>
            </w:r>
          </w:p>
          <w:p w14:paraId="480F1255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Involve the person in shopping and meal planning wherever possible.</w:t>
            </w:r>
          </w:p>
          <w:p w14:paraId="480F1256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Offer choices within healthy options rather than open-ended decisions.</w:t>
            </w:r>
          </w:p>
          <w:p w14:paraId="480F1257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Respect preferences while gently expanding variety over time.</w:t>
            </w:r>
          </w:p>
          <w:p w14:paraId="480F1258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Use photos or symbols to support food communication.</w:t>
            </w:r>
          </w:p>
          <w:p w14:paraId="480F1259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Never use food as a reward or punishment.</w:t>
            </w:r>
          </w:p>
        </w:tc>
      </w:tr>
      <w:tr w:rsidR="003314C9" w14:paraId="480F1267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5B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Fluid support</w:t>
            </w:r>
          </w:p>
          <w:p w14:paraId="480F125C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Offer fluids proactively throughout the day — don’t wait to be asked.</w:t>
            </w:r>
          </w:p>
          <w:p w14:paraId="480F125D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Keep water accessible at meals and all snack times.</w:t>
            </w:r>
          </w:p>
          <w:p w14:paraId="480F125E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Check urine colour as a simple hydration indicator.</w:t>
            </w:r>
          </w:p>
          <w:p w14:paraId="480F125F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Follow speech pathologist guidance on fluid thickness exactly.</w:t>
            </w:r>
          </w:p>
          <w:p w14:paraId="480F1260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Note and report any reduction in fluid intake promptly.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61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Responding to food selectivity</w:t>
            </w:r>
          </w:p>
          <w:p w14:paraId="480F1262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Understand food refusals as communication, not defiance.</w:t>
            </w:r>
          </w:p>
          <w:p w14:paraId="480F1263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Introduce new foods slowly and without pressure.</w:t>
            </w:r>
          </w:p>
          <w:p w14:paraId="480F1264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Keep trying — repeated low-pressure exposure builds familiarity.</w:t>
            </w:r>
          </w:p>
          <w:p w14:paraId="480F1265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 xml:space="preserve">Document which foods are </w:t>
            </w:r>
            <w:proofErr w:type="gramStart"/>
            <w:r>
              <w:rPr>
                <w:color w:val="4E6575"/>
                <w:sz w:val="17"/>
                <w:szCs w:val="17"/>
              </w:rPr>
              <w:t>accepted</w:t>
            </w:r>
            <w:proofErr w:type="gramEnd"/>
            <w:r>
              <w:rPr>
                <w:color w:val="4E6575"/>
                <w:sz w:val="17"/>
                <w:szCs w:val="17"/>
              </w:rPr>
              <w:t xml:space="preserve"> and which are avoided.</w:t>
            </w:r>
          </w:p>
          <w:p w14:paraId="480F1266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Refer to a dietitian or occupational therapist for persistent selectivity.</w:t>
            </w:r>
          </w:p>
        </w:tc>
      </w:tr>
      <w:tr w:rsidR="003314C9" w14:paraId="480F1274" w14:textId="77777777"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68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Bowel health</w:t>
            </w:r>
          </w:p>
          <w:p w14:paraId="480F1269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Monitor and record bowel movements in care notes every day.</w:t>
            </w:r>
          </w:p>
          <w:p w14:paraId="480F126A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Increase fibre gradually — always paired with increased fluids.</w:t>
            </w:r>
          </w:p>
          <w:p w14:paraId="480F126B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Encourage regular movement and physical activity.</w:t>
            </w:r>
          </w:p>
          <w:p w14:paraId="480F126C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Report constipation early; do not wait for it to worsen.</w:t>
            </w:r>
          </w:p>
          <w:p w14:paraId="480F126D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Discuss fibre and bowel health goals with the whole care team.</w:t>
            </w:r>
          </w:p>
        </w:tc>
        <w:tc>
          <w:tcPr>
            <w:tcW w:w="4763" w:type="dxa"/>
            <w:shd w:val="clear" w:color="auto" w:fill="FFFFFF"/>
            <w:tcMar>
              <w:top w:w="160" w:type="dxa"/>
              <w:left w:w="200" w:type="dxa"/>
              <w:bottom w:w="140" w:type="dxa"/>
              <w:right w:w="200" w:type="dxa"/>
            </w:tcMar>
          </w:tcPr>
          <w:p w14:paraId="480F126E" w14:textId="77777777" w:rsidR="003314C9" w:rsidRDefault="0063715B">
            <w:pPr>
              <w:keepNext/>
              <w:spacing w:after="90" w:line="252" w:lineRule="auto"/>
              <w:rPr>
                <w:sz w:val="23"/>
              </w:rPr>
            </w:pPr>
            <w:r>
              <w:rPr>
                <w:b/>
                <w:color w:val="173D63"/>
                <w:sz w:val="23"/>
                <w:szCs w:val="23"/>
              </w:rPr>
              <w:t>Weight and health monitoring</w:t>
            </w:r>
          </w:p>
          <w:p w14:paraId="480F126F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Weigh monthly and record results — always with dignity and respect.</w:t>
            </w:r>
          </w:p>
          <w:p w14:paraId="480F1270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Report unexplained weight loss or gain to the care team promptly.</w:t>
            </w:r>
          </w:p>
          <w:p w14:paraId="480F1271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Support the person to attend annual health checks (MBS Health Assessment).</w:t>
            </w:r>
          </w:p>
          <w:p w14:paraId="480F1272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Raise any concerns about appetite or eating changes with the GP.</w:t>
            </w:r>
          </w:p>
          <w:p w14:paraId="480F1273" w14:textId="77777777" w:rsidR="003314C9" w:rsidRDefault="0063715B">
            <w:pPr>
              <w:tabs>
                <w:tab w:val="left" w:pos="300"/>
              </w:tabs>
              <w:spacing w:after="100" w:line="258" w:lineRule="auto"/>
              <w:ind w:left="300" w:hanging="300"/>
              <w:rPr>
                <w:sz w:val="17"/>
              </w:rPr>
            </w:pPr>
            <w:r>
              <w:rPr>
                <w:b/>
                <w:color w:val="008FA3"/>
                <w:sz w:val="17"/>
                <w:szCs w:val="17"/>
              </w:rPr>
              <w:t>→</w:t>
            </w:r>
            <w:r>
              <w:rPr>
                <w:sz w:val="17"/>
              </w:rPr>
              <w:tab/>
            </w:r>
            <w:r>
              <w:rPr>
                <w:color w:val="4E6575"/>
                <w:sz w:val="17"/>
                <w:szCs w:val="17"/>
              </w:rPr>
              <w:t>Work with the dietitian toward any specific weight-related goals.</w:t>
            </w:r>
          </w:p>
        </w:tc>
      </w:tr>
    </w:tbl>
    <w:p w14:paraId="480F1275" w14:textId="08FBEA43" w:rsidR="008D6E9F" w:rsidRDefault="008D6E9F">
      <w:pPr>
        <w:spacing w:after="0"/>
        <w:rPr>
          <w:sz w:val="10"/>
        </w:rPr>
      </w:pPr>
    </w:p>
    <w:p w14:paraId="4356B494" w14:textId="77777777" w:rsidR="008D6E9F" w:rsidRDefault="008D6E9F">
      <w:pPr>
        <w:rPr>
          <w:sz w:val="10"/>
        </w:rPr>
      </w:pPr>
      <w:r>
        <w:rPr>
          <w:sz w:val="10"/>
        </w:rPr>
        <w:br w:type="page"/>
      </w:r>
    </w:p>
    <w:p w14:paraId="144A7F22" w14:textId="77777777" w:rsidR="003314C9" w:rsidRDefault="003314C9">
      <w:pPr>
        <w:spacing w:after="0"/>
        <w:rPr>
          <w:sz w:val="10"/>
        </w:rPr>
      </w:pPr>
    </w:p>
    <w:tbl>
      <w:tblPr>
        <w:tblW w:w="9526" w:type="dxa"/>
        <w:tblInd w:w="240" w:type="dxa"/>
        <w:tblBorders>
          <w:top w:val="single" w:sz="4" w:space="0" w:color="DCEAF4"/>
          <w:left w:val="single" w:sz="4" w:space="0" w:color="DCEAF4"/>
          <w:bottom w:val="single" w:sz="4" w:space="0" w:color="DCEAF4"/>
          <w:right w:val="single" w:sz="4" w:space="0" w:color="DCEAF4"/>
          <w:insideH w:val="single" w:sz="4" w:space="0" w:color="DCEAF4"/>
          <w:insideV w:val="single" w:sz="4" w:space="0" w:color="DCEAF4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9526"/>
      </w:tblGrid>
      <w:tr w:rsidR="003314C9" w14:paraId="480F1277" w14:textId="77777777">
        <w:tc>
          <w:tcPr>
            <w:tcW w:w="9526" w:type="dxa"/>
            <w:shd w:val="clear" w:color="auto" w:fill="EAF6FA"/>
            <w:tcMar>
              <w:top w:w="200" w:type="dxa"/>
              <w:left w:w="240" w:type="dxa"/>
              <w:bottom w:w="180" w:type="dxa"/>
              <w:right w:w="240" w:type="dxa"/>
            </w:tcMar>
          </w:tcPr>
          <w:p w14:paraId="480F1276" w14:textId="77777777" w:rsidR="003314C9" w:rsidRDefault="0063715B">
            <w:pPr>
              <w:keepNext/>
              <w:spacing w:after="140" w:line="252" w:lineRule="auto"/>
              <w:rPr>
                <w:sz w:val="30"/>
              </w:rPr>
            </w:pPr>
            <w:proofErr w:type="gramStart"/>
            <w:r>
              <w:rPr>
                <w:b/>
                <w:color w:val="008FA3"/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 xml:space="preserve">  </w:t>
            </w:r>
            <w:r>
              <w:rPr>
                <w:b/>
                <w:color w:val="173D63"/>
                <w:sz w:val="30"/>
                <w:szCs w:val="30"/>
              </w:rPr>
              <w:t>When</w:t>
            </w:r>
            <w:proofErr w:type="gramEnd"/>
            <w:r>
              <w:rPr>
                <w:b/>
                <w:color w:val="173D63"/>
                <w:sz w:val="30"/>
                <w:szCs w:val="30"/>
              </w:rPr>
              <w:t xml:space="preserve"> to seek specialist support</w:t>
            </w:r>
          </w:p>
        </w:tc>
      </w:tr>
    </w:tbl>
    <w:p w14:paraId="480F1278" w14:textId="77777777" w:rsidR="003314C9" w:rsidRDefault="003314C9">
      <w:pPr>
        <w:spacing w:after="0"/>
        <w:rPr>
          <w:sz w:val="4"/>
        </w:rPr>
      </w:pPr>
    </w:p>
    <w:tbl>
      <w:tblPr>
        <w:tblW w:w="9526" w:type="dxa"/>
        <w:tblInd w:w="180" w:type="dxa"/>
        <w:tblBorders>
          <w:top w:val="single" w:sz="4" w:space="0" w:color="CFE0EC"/>
          <w:left w:val="single" w:sz="4" w:space="0" w:color="CFE0EC"/>
          <w:bottom w:val="single" w:sz="4" w:space="0" w:color="CFE0EC"/>
          <w:right w:val="single" w:sz="4" w:space="0" w:color="CFE0EC"/>
          <w:insideH w:val="single" w:sz="4" w:space="0" w:color="CFE0EC"/>
          <w:insideV w:val="single" w:sz="4" w:space="0" w:color="CFE0EC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3175"/>
        <w:gridCol w:w="3175"/>
        <w:gridCol w:w="3176"/>
      </w:tblGrid>
      <w:tr w:rsidR="003314C9" w14:paraId="480F127C" w14:textId="77777777">
        <w:trPr>
          <w:cantSplit/>
          <w:tblHeader/>
        </w:trPr>
        <w:tc>
          <w:tcPr>
            <w:tcW w:w="3175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79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Refer to a DIETITIAN if…</w:t>
            </w:r>
          </w:p>
        </w:tc>
        <w:tc>
          <w:tcPr>
            <w:tcW w:w="3175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7A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Refer to a SPEECH PATHOLOGIST if…</w:t>
            </w:r>
          </w:p>
        </w:tc>
        <w:tc>
          <w:tcPr>
            <w:tcW w:w="3176" w:type="dxa"/>
            <w:shd w:val="clear" w:color="auto" w:fill="173D63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80F127B" w14:textId="77777777" w:rsidR="003314C9" w:rsidRDefault="0063715B">
            <w:pPr>
              <w:spacing w:after="0" w:line="240" w:lineRule="auto"/>
              <w:rPr>
                <w:sz w:val="19"/>
              </w:rPr>
            </w:pPr>
            <w:r>
              <w:rPr>
                <w:b/>
                <w:color w:val="FFFFFF"/>
                <w:sz w:val="19"/>
                <w:szCs w:val="19"/>
              </w:rPr>
              <w:t>Raise with the GP or nurse if…</w:t>
            </w:r>
          </w:p>
        </w:tc>
      </w:tr>
      <w:tr w:rsidR="003314C9" w14:paraId="480F128F" w14:textId="77777777">
        <w:tc>
          <w:tcPr>
            <w:tcW w:w="3175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7D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Unexplained weight loss or gain</w:t>
            </w:r>
          </w:p>
          <w:p w14:paraId="480F127E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Persistent food refusal or highly restricted diet</w:t>
            </w:r>
          </w:p>
          <w:p w14:paraId="480F127F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Suspected nutritional deficiency</w:t>
            </w:r>
          </w:p>
          <w:p w14:paraId="480F1280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Obesity or undernutrition concerns</w:t>
            </w:r>
          </w:p>
          <w:p w14:paraId="480F1281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Eating-related medication side effects</w:t>
            </w:r>
          </w:p>
          <w:p w14:paraId="480F1282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Tube feeding is involved</w:t>
            </w:r>
          </w:p>
        </w:tc>
        <w:tc>
          <w:tcPr>
            <w:tcW w:w="3175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83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Coughing, choking or gagging with food or fluids</w:t>
            </w:r>
          </w:p>
          <w:p w14:paraId="480F1284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 xml:space="preserve">Wet or </w:t>
            </w:r>
            <w:proofErr w:type="spellStart"/>
            <w:r>
              <w:rPr>
                <w:sz w:val="17"/>
                <w:szCs w:val="17"/>
              </w:rPr>
              <w:t>gurgly</w:t>
            </w:r>
            <w:proofErr w:type="spellEnd"/>
            <w:r>
              <w:rPr>
                <w:sz w:val="17"/>
                <w:szCs w:val="17"/>
              </w:rPr>
              <w:t xml:space="preserve"> voice after eating or drinking</w:t>
            </w:r>
          </w:p>
          <w:p w14:paraId="480F1285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Food or fluid coming from the nose</w:t>
            </w:r>
          </w:p>
          <w:p w14:paraId="480F1286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Very slow or effortful chewing and swallowing</w:t>
            </w:r>
          </w:p>
          <w:p w14:paraId="480F1287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Recurrent chest infections</w:t>
            </w:r>
          </w:p>
          <w:p w14:paraId="480F1288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Significant increase in drooling</w:t>
            </w:r>
          </w:p>
        </w:tc>
        <w:tc>
          <w:tcPr>
            <w:tcW w:w="3176" w:type="dxa"/>
            <w:shd w:val="clear" w:color="auto" w:fill="FFFFFF"/>
            <w:tcMar>
              <w:top w:w="130" w:type="dxa"/>
              <w:left w:w="180" w:type="dxa"/>
              <w:bottom w:w="130" w:type="dxa"/>
              <w:right w:w="180" w:type="dxa"/>
            </w:tcMar>
          </w:tcPr>
          <w:p w14:paraId="480F1289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Significant or unexplained weight change</w:t>
            </w:r>
          </w:p>
          <w:p w14:paraId="480F128A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Signs of constipation or bowel concern</w:t>
            </w:r>
          </w:p>
          <w:p w14:paraId="480F128B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New concerns about medication and appetite</w:t>
            </w:r>
          </w:p>
          <w:p w14:paraId="480F128C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Signs of nutritional deficiency</w:t>
            </w:r>
          </w:p>
          <w:p w14:paraId="480F128D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Annual health check is overdue</w:t>
            </w:r>
          </w:p>
          <w:p w14:paraId="480F128E" w14:textId="77777777" w:rsidR="003314C9" w:rsidRDefault="0063715B">
            <w:pPr>
              <w:tabs>
                <w:tab w:val="left" w:pos="300"/>
              </w:tabs>
              <w:spacing w:after="40" w:line="258" w:lineRule="auto"/>
              <w:ind w:left="300" w:hanging="300"/>
              <w:rPr>
                <w:sz w:val="17"/>
              </w:rPr>
            </w:pPr>
            <w:r>
              <w:rPr>
                <w:sz w:val="17"/>
                <w:szCs w:val="17"/>
              </w:rPr>
              <w:t>•</w:t>
            </w:r>
            <w:r>
              <w:rPr>
                <w:sz w:val="17"/>
              </w:rPr>
              <w:tab/>
            </w:r>
            <w:r>
              <w:rPr>
                <w:sz w:val="17"/>
                <w:szCs w:val="17"/>
              </w:rPr>
              <w:t>Any new or worsening eating concern</w:t>
            </w:r>
          </w:p>
        </w:tc>
      </w:tr>
    </w:tbl>
    <w:p w14:paraId="480F1290" w14:textId="77777777" w:rsidR="003314C9" w:rsidRDefault="003314C9">
      <w:pPr>
        <w:spacing w:after="0"/>
        <w:rPr>
          <w:sz w:val="10"/>
        </w:rPr>
      </w:pPr>
    </w:p>
    <w:tbl>
      <w:tblPr>
        <w:tblW w:w="9526" w:type="dxa"/>
        <w:tblInd w:w="300" w:type="dxa"/>
        <w:tblBorders>
          <w:top w:val="single" w:sz="4" w:space="0" w:color="173D63"/>
          <w:left w:val="single" w:sz="4" w:space="0" w:color="173D63"/>
          <w:bottom w:val="single" w:sz="4" w:space="0" w:color="173D63"/>
          <w:right w:val="single" w:sz="4" w:space="0" w:color="173D63"/>
          <w:insideH w:val="single" w:sz="4" w:space="0" w:color="173D63"/>
          <w:insideV w:val="single" w:sz="4" w:space="0" w:color="173D63"/>
        </w:tblBorders>
        <w:tblLayout w:type="fixed"/>
        <w:tblCellMar>
          <w:top w:w="120" w:type="dxa"/>
          <w:left w:w="160" w:type="dxa"/>
          <w:bottom w:w="120" w:type="dxa"/>
          <w:right w:w="160" w:type="dxa"/>
        </w:tblCellMar>
        <w:tblLook w:val="04A0" w:firstRow="1" w:lastRow="0" w:firstColumn="1" w:lastColumn="0" w:noHBand="0" w:noVBand="1"/>
      </w:tblPr>
      <w:tblGrid>
        <w:gridCol w:w="9526"/>
      </w:tblGrid>
      <w:tr w:rsidR="003314C9" w14:paraId="480F1293" w14:textId="77777777">
        <w:tc>
          <w:tcPr>
            <w:tcW w:w="9526" w:type="dxa"/>
            <w:shd w:val="clear" w:color="auto" w:fill="173D63"/>
            <w:tcMar>
              <w:top w:w="260" w:type="dxa"/>
              <w:left w:w="300" w:type="dxa"/>
              <w:bottom w:w="240" w:type="dxa"/>
              <w:right w:w="300" w:type="dxa"/>
            </w:tcMar>
          </w:tcPr>
          <w:p w14:paraId="480F1291" w14:textId="77777777" w:rsidR="003314C9" w:rsidRDefault="0063715B">
            <w:pPr>
              <w:spacing w:after="160"/>
              <w:rPr>
                <w:sz w:val="30"/>
              </w:rPr>
            </w:pPr>
            <w:r>
              <w:rPr>
                <w:b/>
                <w:color w:val="FFFFFF"/>
                <w:sz w:val="30"/>
                <w:szCs w:val="30"/>
              </w:rPr>
              <w:t>Remember: food choice is a right.</w:t>
            </w:r>
          </w:p>
          <w:p w14:paraId="480F1292" w14:textId="77777777" w:rsidR="003314C9" w:rsidRDefault="0063715B">
            <w:r>
              <w:rPr>
                <w:color w:val="FFFFFF"/>
              </w:rPr>
              <w:t>Under the UN Convention on the Rights of Persons with Disabilities (CRPD) and Australia’s NDIS framework, people with disability have the right to make decisions about their own lives — including what they eat. Support is about enabling good choices, not overriding them. Where a health risk exists, work collaboratively with the person, their family, and the multidisciplinary team to find solutions that respect autonomy and promote wellbeing.</w:t>
            </w:r>
          </w:p>
        </w:tc>
      </w:tr>
    </w:tbl>
    <w:p w14:paraId="480F1294" w14:textId="77777777" w:rsidR="003314C9" w:rsidRDefault="003314C9">
      <w:pPr>
        <w:spacing w:after="0"/>
        <w:rPr>
          <w:sz w:val="10"/>
        </w:rPr>
      </w:pPr>
    </w:p>
    <w:p w14:paraId="480F1295" w14:textId="77777777" w:rsidR="003314C9" w:rsidRDefault="003314C9">
      <w:pPr>
        <w:spacing w:after="0"/>
      </w:pPr>
    </w:p>
    <w:sectPr w:rsidR="003314C9">
      <w:footerReference w:type="default" r:id="rId6"/>
      <w:pgSz w:w="11906" w:h="16838"/>
      <w:pgMar w:top="800" w:right="1190" w:bottom="1080" w:left="1190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620999" w14:textId="77777777" w:rsidR="0063715B" w:rsidRDefault="0063715B">
      <w:pPr>
        <w:spacing w:after="0" w:line="240" w:lineRule="auto"/>
      </w:pPr>
      <w:r>
        <w:separator/>
      </w:r>
    </w:p>
  </w:endnote>
  <w:endnote w:type="continuationSeparator" w:id="0">
    <w:p w14:paraId="0B306953" w14:textId="77777777" w:rsidR="0063715B" w:rsidRDefault="0063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0F1296" w14:textId="78E285B3" w:rsidR="003314C9" w:rsidRDefault="0063715B" w:rsidP="007E6C89">
    <w:pPr>
      <w:pBdr>
        <w:top w:val="single" w:sz="4" w:space="6" w:color="CFE0EC"/>
      </w:pBdr>
      <w:tabs>
        <w:tab w:val="right" w:pos="9526"/>
      </w:tabs>
      <w:spacing w:after="0"/>
      <w:rPr>
        <w:sz w:val="15"/>
      </w:rPr>
    </w:pPr>
    <w:r>
      <w:rPr>
        <w:color w:val="4E6575"/>
        <w:sz w:val="15"/>
        <w:szCs w:val="15"/>
      </w:rPr>
      <w:t xml:space="preserve">© 2026 </w:t>
    </w:r>
    <w:proofErr w:type="spellStart"/>
    <w:r>
      <w:rPr>
        <w:color w:val="4E6575"/>
        <w:sz w:val="15"/>
        <w:szCs w:val="15"/>
      </w:rPr>
      <w:t>Microboards</w:t>
    </w:r>
    <w:proofErr w:type="spellEnd"/>
    <w:r>
      <w:rPr>
        <w:color w:val="4E6575"/>
        <w:sz w:val="15"/>
        <w:szCs w:val="15"/>
      </w:rPr>
      <w:t xml:space="preserve"> Australia</w:t>
    </w:r>
    <w:r>
      <w:rPr>
        <w:sz w:val="15"/>
      </w:rPr>
      <w:tab/>
    </w:r>
    <w:r>
      <w:rPr>
        <w:color w:val="4E6575"/>
        <w:sz w:val="15"/>
        <w:szCs w:val="15"/>
      </w:rPr>
      <w:t xml:space="preserve">Page </w:t>
    </w:r>
    <w:r>
      <w:rPr>
        <w:color w:val="4E6575"/>
        <w:sz w:val="15"/>
      </w:rPr>
      <w:fldChar w:fldCharType="begin"/>
    </w:r>
    <w:r>
      <w:rPr>
        <w:color w:val="4E6575"/>
        <w:sz w:val="15"/>
      </w:rPr>
      <w:instrText xml:space="preserve"> PAGE </w:instrText>
    </w:r>
    <w:r w:rsidR="00623068">
      <w:rPr>
        <w:color w:val="4E6575"/>
        <w:sz w:val="15"/>
      </w:rPr>
      <w:fldChar w:fldCharType="separate"/>
    </w:r>
    <w:r w:rsidR="00623068">
      <w:rPr>
        <w:noProof/>
        <w:color w:val="4E6575"/>
        <w:sz w:val="15"/>
      </w:rPr>
      <w:t>1</w:t>
    </w:r>
    <w:r>
      <w:rPr>
        <w:color w:val="4E6575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229FA4" w14:textId="77777777" w:rsidR="0063715B" w:rsidRDefault="0063715B">
      <w:pPr>
        <w:spacing w:after="0" w:line="240" w:lineRule="auto"/>
      </w:pPr>
      <w:r>
        <w:separator/>
      </w:r>
    </w:p>
  </w:footnote>
  <w:footnote w:type="continuationSeparator" w:id="0">
    <w:p w14:paraId="359619B1" w14:textId="77777777" w:rsidR="0063715B" w:rsidRDefault="00637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4C9"/>
    <w:rsid w:val="003314C9"/>
    <w:rsid w:val="00623068"/>
    <w:rsid w:val="0063715B"/>
    <w:rsid w:val="007E6C89"/>
    <w:rsid w:val="008D6E9F"/>
    <w:rsid w:val="00CE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0F1205"/>
  <w15:docId w15:val="{489DF27B-01C0-7C4E-9CAA-6710E42A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Helvetica" w:hAnsi="Helvetica" w:cs="Helvetica"/>
        <w:color w:val="183247"/>
        <w:lang w:val="en-AU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89"/>
  </w:style>
  <w:style w:type="paragraph" w:styleId="Footer">
    <w:name w:val="footer"/>
    <w:basedOn w:val="Normal"/>
    <w:link w:val="FooterChar"/>
    <w:uiPriority w:val="99"/>
    <w:unhideWhenUsed/>
    <w:rsid w:val="007E6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194A3E-B0A7-4922-8098-6BECE9FA181E}"/>
</file>

<file path=customXml/itemProps2.xml><?xml version="1.0" encoding="utf-8"?>
<ds:datastoreItem xmlns:ds="http://schemas.openxmlformats.org/officeDocument/2006/customXml" ds:itemID="{D3574DE2-203F-4227-A5F2-8F0EFCF3B1ED}"/>
</file>

<file path=customXml/itemProps3.xml><?xml version="1.0" encoding="utf-8"?>
<ds:datastoreItem xmlns:ds="http://schemas.openxmlformats.org/officeDocument/2006/customXml" ds:itemID="{72AA2F9D-7421-4501-B8F9-9307684E2E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959</Words>
  <Characters>5471</Characters>
  <Application>Microsoft Office Word</Application>
  <DocSecurity>0</DocSecurity>
  <Lines>45</Lines>
  <Paragraphs>12</Paragraphs>
  <ScaleCrop>false</ScaleCrop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Eating well with intellectual disability</dc:title>
  <dc:creator>Microboards Australia</dc:creator>
  <cp:lastModifiedBy>Rachel Skoss</cp:lastModifiedBy>
  <cp:revision>4</cp:revision>
  <dcterms:created xsi:type="dcterms:W3CDTF">2026-08-31T03:48:00Z</dcterms:created>
  <dcterms:modified xsi:type="dcterms:W3CDTF">2026-08-31T03:50:00Z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0x010100C41A262C0E0FD04C8EC38DD09B9F025B</vt:lpwstr>
  </property>
</Properties>
</file>